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Генеральный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_____________А.В. 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023CEF">
        <w:rPr>
          <w:sz w:val="22"/>
          <w:szCs w:val="22"/>
        </w:rPr>
        <w:t>10</w:t>
      </w:r>
      <w:r w:rsidRPr="00794DCE">
        <w:rPr>
          <w:sz w:val="22"/>
          <w:szCs w:val="22"/>
        </w:rPr>
        <w:t xml:space="preserve">» </w:t>
      </w:r>
      <w:r w:rsidR="00023CEF">
        <w:rPr>
          <w:sz w:val="22"/>
          <w:szCs w:val="22"/>
        </w:rPr>
        <w:t>мая</w:t>
      </w:r>
      <w:r w:rsidRPr="00794DCE">
        <w:rPr>
          <w:sz w:val="22"/>
          <w:szCs w:val="22"/>
        </w:rPr>
        <w:t xml:space="preserve"> 20</w:t>
      </w:r>
      <w:r w:rsidR="00D80A1C">
        <w:rPr>
          <w:sz w:val="22"/>
          <w:szCs w:val="22"/>
        </w:rPr>
        <w:t>2</w:t>
      </w:r>
      <w:r w:rsidR="00CD0F42">
        <w:rPr>
          <w:sz w:val="22"/>
          <w:szCs w:val="22"/>
        </w:rPr>
        <w:t>3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A635A5" w:rsidRPr="008B2756" w:rsidRDefault="00A635A5" w:rsidP="00A635A5">
      <w:pPr>
        <w:ind w:left="-567"/>
        <w:jc w:val="center"/>
        <w:outlineLvl w:val="1"/>
        <w:rPr>
          <w:b/>
          <w:bCs/>
          <w:kern w:val="36"/>
          <w:sz w:val="24"/>
          <w:szCs w:val="24"/>
        </w:rPr>
      </w:pPr>
      <w:r w:rsidRPr="008B2756">
        <w:rPr>
          <w:b/>
          <w:bCs/>
          <w:kern w:val="36"/>
          <w:sz w:val="24"/>
          <w:szCs w:val="24"/>
        </w:rPr>
        <w:t>П</w:t>
      </w:r>
      <w:r>
        <w:rPr>
          <w:b/>
          <w:bCs/>
          <w:kern w:val="36"/>
          <w:sz w:val="24"/>
          <w:szCs w:val="24"/>
        </w:rPr>
        <w:t xml:space="preserve">ротокол </w:t>
      </w:r>
      <w:proofErr w:type="gramStart"/>
      <w:r>
        <w:rPr>
          <w:b/>
          <w:bCs/>
          <w:kern w:val="36"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/>
          <w:bCs/>
          <w:kern w:val="36"/>
          <w:sz w:val="24"/>
          <w:szCs w:val="24"/>
        </w:rPr>
        <w:br/>
      </w:r>
      <w:r w:rsidRPr="008B2756">
        <w:rPr>
          <w:b/>
          <w:bCs/>
          <w:kern w:val="36"/>
          <w:sz w:val="24"/>
          <w:szCs w:val="24"/>
        </w:rPr>
        <w:t xml:space="preserve">№ </w:t>
      </w:r>
      <w:r>
        <w:rPr>
          <w:b/>
          <w:bCs/>
          <w:kern w:val="36"/>
          <w:sz w:val="24"/>
          <w:szCs w:val="24"/>
        </w:rPr>
        <w:t xml:space="preserve">02-05-ЗП </w:t>
      </w:r>
      <w:bookmarkStart w:id="0" w:name="_GoBack"/>
      <w:bookmarkEnd w:id="0"/>
      <w:r>
        <w:rPr>
          <w:b/>
          <w:bCs/>
          <w:kern w:val="36"/>
          <w:sz w:val="24"/>
          <w:szCs w:val="24"/>
        </w:rPr>
        <w:t>(</w:t>
      </w:r>
      <w:r w:rsidRPr="008B2756">
        <w:rPr>
          <w:b/>
          <w:sz w:val="24"/>
          <w:szCs w:val="24"/>
          <w:lang w:bidi="hi-IN"/>
        </w:rPr>
        <w:t>2731213</w:t>
      </w:r>
      <w:r>
        <w:rPr>
          <w:b/>
          <w:sz w:val="24"/>
          <w:szCs w:val="24"/>
          <w:lang w:bidi="hi-IN"/>
        </w:rPr>
        <w:t>)</w:t>
      </w:r>
      <w:r>
        <w:rPr>
          <w:b/>
          <w:sz w:val="24"/>
          <w:szCs w:val="24"/>
          <w:lang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c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A635A5" w:rsidRPr="008B2756" w:rsidTr="00093658">
        <w:tc>
          <w:tcPr>
            <w:tcW w:w="5778" w:type="dxa"/>
          </w:tcPr>
          <w:p w:rsidR="00A635A5" w:rsidRPr="00A635A5" w:rsidRDefault="00A635A5" w:rsidP="00093658">
            <w:pPr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A635A5" w:rsidRPr="008B2756" w:rsidRDefault="00A635A5" w:rsidP="00093658">
            <w:pPr>
              <w:ind w:left="-567"/>
              <w:jc w:val="right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 xml:space="preserve">Дата публикации: </w:t>
            </w:r>
            <w:r w:rsidRPr="008B2756">
              <w:rPr>
                <w:sz w:val="24"/>
                <w:szCs w:val="24"/>
                <w:lang w:eastAsia="zh-CN" w:bidi="hi-IN"/>
              </w:rPr>
              <w:t>10.05.2023</w:t>
            </w:r>
          </w:p>
        </w:tc>
      </w:tr>
      <w:tr w:rsidR="00A635A5" w:rsidRPr="008B2756" w:rsidTr="00093658">
        <w:tc>
          <w:tcPr>
            <w:tcW w:w="9571" w:type="dxa"/>
            <w:gridSpan w:val="2"/>
          </w:tcPr>
          <w:p w:rsidR="00A635A5" w:rsidRPr="008B2756" w:rsidRDefault="00A635A5" w:rsidP="0009365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B2756">
              <w:rPr>
                <w:sz w:val="24"/>
                <w:szCs w:val="24"/>
              </w:rPr>
              <w:t>аказчи</w:t>
            </w:r>
            <w:proofErr w:type="gramStart"/>
            <w:r w:rsidRPr="008B275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(</w:t>
            </w:r>
            <w:proofErr w:type="gramEnd"/>
            <w:r w:rsidRPr="008B275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), заключающие договор</w:t>
            </w:r>
            <w:r w:rsidRPr="00A635A5">
              <w:rPr>
                <w:sz w:val="24"/>
                <w:szCs w:val="24"/>
              </w:rPr>
              <w:t xml:space="preserve">: </w:t>
            </w:r>
            <w:r w:rsidRPr="008B2756">
              <w:rPr>
                <w:sz w:val="24"/>
                <w:szCs w:val="24"/>
              </w:rPr>
              <w:t>АКЦИОНЕРНОЕ ОБЩЕСТВО "ВЫБОРГТЕПЛОЭНЕРГО"</w:t>
            </w:r>
          </w:p>
        </w:tc>
      </w:tr>
    </w:tbl>
    <w:p w:rsidR="00A635A5" w:rsidRPr="00A635A5" w:rsidRDefault="00A635A5" w:rsidP="00A635A5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A635A5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A635A5">
        <w:rPr>
          <w:sz w:val="24"/>
          <w:szCs w:val="24"/>
        </w:rPr>
        <w:t>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Макарова М. А., 8137833363, marina.makarova1971@mail.ru</w:t>
      </w:r>
      <w:r w:rsidRPr="00A635A5">
        <w:rPr>
          <w:sz w:val="24"/>
          <w:szCs w:val="24"/>
        </w:rPr>
        <w:t>.</w:t>
      </w:r>
    </w:p>
    <w:p w:rsidR="00A635A5" w:rsidRPr="00081AA4" w:rsidRDefault="00A635A5" w:rsidP="00A635A5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Наименовани</w:t>
      </w:r>
      <w:r>
        <w:rPr>
          <w:sz w:val="24"/>
          <w:szCs w:val="24"/>
        </w:rPr>
        <w:t>е закупки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 xml:space="preserve">Выполнение строительно-монтажных работ по демонтажу существующего ГРПШ и монтажу нового ГРПШ по адресу: ЛО, Выборгский  р-он, г. Выборг, ул. 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Промышленная</w:t>
      </w:r>
      <w:proofErr w:type="gramEnd"/>
      <w:r w:rsidRPr="008B2756">
        <w:rPr>
          <w:snapToGrid w:val="0"/>
          <w:sz w:val="24"/>
          <w:szCs w:val="24"/>
          <w:lang w:eastAsia="zh-CN" w:bidi="hi-IN"/>
        </w:rPr>
        <w:t>, д. 4, корп. 1.</w:t>
      </w:r>
    </w:p>
    <w:p w:rsidR="00A635A5" w:rsidRPr="00301A25" w:rsidRDefault="00A635A5" w:rsidP="00A635A5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1.</w:t>
      </w:r>
    </w:p>
    <w:p w:rsidR="00A635A5" w:rsidRPr="008A6CFD" w:rsidRDefault="00A635A5" w:rsidP="00A635A5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A635A5">
        <w:rPr>
          <w:snapToGrid w:val="0"/>
          <w:sz w:val="24"/>
          <w:szCs w:val="24"/>
          <w:lang w:eastAsia="zh-CN" w:bidi="hi-IN"/>
        </w:rPr>
        <w:t>:</w:t>
      </w:r>
      <w:r>
        <w:rPr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b/>
          <w:snapToGrid w:val="0"/>
          <w:lang w:eastAsia="zh-CN" w:bidi="hi-IN"/>
        </w:rPr>
        <w:t xml:space="preserve">Выполнение строительно-монтажных работ по демонтажу существующего ГРПШ и монтажу нового ГРПШ по адресу: ЛО, Выборгский  р-он, г. Выборг, ул. </w:t>
      </w:r>
      <w:proofErr w:type="gramStart"/>
      <w:r w:rsidRPr="00676963">
        <w:rPr>
          <w:b/>
          <w:snapToGrid w:val="0"/>
          <w:lang w:eastAsia="zh-CN" w:bidi="hi-IN"/>
        </w:rPr>
        <w:t>Промышленная</w:t>
      </w:r>
      <w:proofErr w:type="gramEnd"/>
      <w:r w:rsidRPr="00676963">
        <w:rPr>
          <w:b/>
          <w:snapToGrid w:val="0"/>
          <w:lang w:eastAsia="zh-CN" w:bidi="hi-IN"/>
        </w:rPr>
        <w:t>, д. 4, корп. 1</w:t>
      </w:r>
      <w:r>
        <w:rPr>
          <w:snapToGrid w:val="0"/>
          <w:lang w:val="en-US" w:eastAsia="zh-CN" w:bidi="hi-IN"/>
        </w:rPr>
        <w:t>.</w:t>
      </w:r>
    </w:p>
    <w:p w:rsidR="00A635A5" w:rsidRDefault="00A635A5" w:rsidP="00A635A5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10.05.2023 00:00 (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МСК</w:t>
      </w:r>
      <w:proofErr w:type="gramEnd"/>
      <w:r w:rsidRPr="008B2756">
        <w:rPr>
          <w:snapToGrid w:val="0"/>
          <w:sz w:val="24"/>
          <w:szCs w:val="24"/>
          <w:lang w:eastAsia="zh-CN" w:bidi="hi-IN"/>
        </w:rPr>
        <w:t>)</w:t>
      </w:r>
      <w:r w:rsidRPr="00411C16">
        <w:rPr>
          <w:sz w:val="24"/>
          <w:szCs w:val="24"/>
        </w:rPr>
        <w:t>.</w:t>
      </w:r>
    </w:p>
    <w:p w:rsidR="00A635A5" w:rsidRPr="00AC1867" w:rsidRDefault="00A635A5" w:rsidP="00A635A5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188800, Российская Федерация, Ленинградская обл., Выборгский р-н, г. Выборг, ул. Сухова, дом 2, ОКАТО: 41417000000.</w:t>
      </w:r>
    </w:p>
    <w:p w:rsidR="00A635A5" w:rsidRPr="00E6178E" w:rsidRDefault="00A635A5" w:rsidP="00A635A5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 xml:space="preserve">Порядок рассмотрения вторых частей заявок: </w:t>
      </w:r>
      <w:bookmarkStart w:id="1" w:name="_Hlk515360346"/>
      <w:bookmarkEnd w:id="1"/>
      <w:r>
        <w:rPr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snapToGrid w:val="0"/>
          <w:sz w:val="24"/>
          <w:szCs w:val="24"/>
          <w:lang w:eastAsia="zh-CN" w:bidi="hi-IN"/>
        </w:rPr>
        <w:t>.</w:t>
      </w:r>
    </w:p>
    <w:p w:rsidR="00A635A5" w:rsidRDefault="00A635A5" w:rsidP="00A635A5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A635A5" w:rsidRPr="00F3792C" w:rsidTr="00093658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A635A5" w:rsidRPr="00F3792C" w:rsidRDefault="00A635A5" w:rsidP="000936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635A5" w:rsidRPr="00F3792C" w:rsidRDefault="00A635A5" w:rsidP="000936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A635A5" w:rsidRPr="00F3792C" w:rsidRDefault="00A635A5" w:rsidP="000936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A635A5" w:rsidRPr="008B2756" w:rsidTr="00093658">
        <w:tc>
          <w:tcPr>
            <w:tcW w:w="4111" w:type="dxa"/>
            <w:vAlign w:val="center"/>
          </w:tcPr>
          <w:p w:rsidR="00A635A5" w:rsidRPr="008B2756" w:rsidRDefault="00A635A5" w:rsidP="00093658">
            <w:pPr>
              <w:rPr>
                <w:sz w:val="24"/>
                <w:szCs w:val="24"/>
              </w:rPr>
            </w:pPr>
            <w:bookmarkStart w:id="2" w:name="OLE_LINK11"/>
            <w:bookmarkStart w:id="3" w:name="OLE_LINK12"/>
            <w:bookmarkStart w:id="4" w:name="OLE_LINK13"/>
            <w:bookmarkStart w:id="5" w:name="OLE_LINK14"/>
            <w:bookmarkStart w:id="6" w:name="OLE_LINK19"/>
            <w:bookmarkEnd w:id="2"/>
            <w:bookmarkEnd w:id="3"/>
            <w:bookmarkEnd w:id="4"/>
            <w:bookmarkEnd w:id="5"/>
            <w:bookmarkEnd w:id="6"/>
            <w:r w:rsidRPr="008B2756">
              <w:rPr>
                <w:sz w:val="24"/>
                <w:szCs w:val="24"/>
              </w:rPr>
              <w:t>33.20.70.000 Услуги по монтажу прочих изделий, не включенных в другие группировки</w:t>
            </w:r>
          </w:p>
        </w:tc>
        <w:tc>
          <w:tcPr>
            <w:tcW w:w="2977" w:type="dxa"/>
            <w:vAlign w:val="center"/>
          </w:tcPr>
          <w:p w:rsidR="00A635A5" w:rsidRPr="008B2756" w:rsidRDefault="00A635A5" w:rsidP="00093658">
            <w:pPr>
              <w:ind w:right="114"/>
              <w:rPr>
                <w:sz w:val="24"/>
                <w:szCs w:val="24"/>
              </w:rPr>
            </w:pPr>
            <w:bookmarkStart w:id="7" w:name="OLE_LINK17"/>
            <w:bookmarkStart w:id="8" w:name="OLE_LINK18"/>
            <w:bookmarkEnd w:id="7"/>
            <w:bookmarkEnd w:id="8"/>
            <w:r w:rsidRPr="008B2756">
              <w:rPr>
                <w:sz w:val="24"/>
                <w:szCs w:val="24"/>
              </w:rPr>
              <w:t>33.20 Монтаж промышленных машин и оборудования</w:t>
            </w:r>
          </w:p>
        </w:tc>
        <w:tc>
          <w:tcPr>
            <w:tcW w:w="2693" w:type="dxa"/>
            <w:vAlign w:val="center"/>
          </w:tcPr>
          <w:p w:rsidR="00A635A5" w:rsidRPr="00CB5198" w:rsidRDefault="00A635A5" w:rsidP="00093658">
            <w:pPr>
              <w:rPr>
                <w:sz w:val="24"/>
                <w:szCs w:val="24"/>
                <w:lang w:val="en-US"/>
              </w:rPr>
            </w:pPr>
            <w:bookmarkStart w:id="9" w:name="OLE_LINK16"/>
            <w:bookmarkStart w:id="10" w:name="OLE_LINK15"/>
            <w:bookmarkEnd w:id="9"/>
            <w:bookmarkEnd w:id="10"/>
            <w:r w:rsidRPr="008B275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sz w:val="24"/>
                <w:szCs w:val="24"/>
              </w:rPr>
              <w:t>Штука(796)</w:t>
            </w:r>
          </w:p>
        </w:tc>
      </w:tr>
    </w:tbl>
    <w:p w:rsidR="00A635A5" w:rsidRPr="00462A94" w:rsidRDefault="00A635A5" w:rsidP="00A635A5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Начальная (</w:t>
      </w:r>
      <w:r>
        <w:rPr>
          <w:sz w:val="24"/>
          <w:szCs w:val="24"/>
        </w:rPr>
        <w:t>максимальная) цена договор</w:t>
      </w:r>
      <w:r w:rsidRPr="008B2756">
        <w:rPr>
          <w:sz w:val="24"/>
          <w:szCs w:val="24"/>
        </w:rPr>
        <w:t xml:space="preserve">а: </w:t>
      </w:r>
      <w:r w:rsidRPr="008B2756">
        <w:rPr>
          <w:snapToGrid w:val="0"/>
          <w:sz w:val="24"/>
          <w:szCs w:val="24"/>
          <w:lang w:eastAsia="zh-CN" w:bidi="hi-IN"/>
        </w:rPr>
        <w:t>725 000,00 (Российский рубль), с НДС</w:t>
      </w:r>
    </w:p>
    <w:p w:rsidR="00A635A5" w:rsidRPr="00A635A5" w:rsidRDefault="00A635A5" w:rsidP="00A635A5">
      <w:pPr>
        <w:pStyle w:val="ab"/>
        <w:numPr>
          <w:ilvl w:val="0"/>
          <w:numId w:val="3"/>
        </w:numPr>
        <w:tabs>
          <w:tab w:val="clear" w:pos="360"/>
          <w:tab w:val="left" w:pos="-540"/>
        </w:tabs>
        <w:suppressAutoHyphens w:val="0"/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конкурсной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комиссии.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</w:t>
      </w:r>
      <w:proofErr w:type="gramStart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а(</w:t>
      </w:r>
      <w:proofErr w:type="spellStart"/>
      <w:proofErr w:type="gram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ов</w:t>
      </w:r>
      <w:proofErr w:type="spell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) конкурсной комиссии. Кворум имеется. Заседание правомочно.</w:t>
      </w:r>
    </w:p>
    <w:p w:rsidR="00A635A5" w:rsidRDefault="00A635A5" w:rsidP="00A635A5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По результатам проведения электронного запроса предложений рассматриваются вторые части заявок следующих участников запроса предложений: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553"/>
        <w:gridCol w:w="2596"/>
        <w:gridCol w:w="2553"/>
      </w:tblGrid>
      <w:tr w:rsidR="00A635A5" w:rsidRPr="00062116" w:rsidTr="00093658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35A5" w:rsidRPr="009E6C74" w:rsidRDefault="00A635A5" w:rsidP="00093658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 xml:space="preserve">Порядковый номер </w:t>
            </w:r>
            <w:r w:rsidRPr="009E6C74">
              <w:rPr>
                <w:b/>
                <w:bCs/>
                <w:sz w:val="24"/>
                <w:szCs w:val="24"/>
              </w:rPr>
              <w:lastRenderedPageBreak/>
              <w:t>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35A5" w:rsidRPr="009E6C74" w:rsidRDefault="00A635A5" w:rsidP="00093658">
            <w:pPr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lastRenderedPageBreak/>
              <w:t>Дата и в</w:t>
            </w:r>
            <w:r>
              <w:rPr>
                <w:b/>
                <w:bCs/>
                <w:sz w:val="24"/>
                <w:szCs w:val="24"/>
              </w:rPr>
              <w:t xml:space="preserve">ремя подачи </w:t>
            </w:r>
            <w:r>
              <w:rPr>
                <w:b/>
                <w:bCs/>
                <w:sz w:val="24"/>
                <w:szCs w:val="24"/>
              </w:rPr>
              <w:lastRenderedPageBreak/>
              <w:t>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35A5" w:rsidRPr="009E6C74" w:rsidRDefault="00A635A5" w:rsidP="000936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Наименование </w:t>
            </w:r>
            <w:r>
              <w:rPr>
                <w:b/>
                <w:bCs/>
                <w:sz w:val="24"/>
                <w:szCs w:val="24"/>
              </w:rPr>
              <w:lastRenderedPageBreak/>
              <w:t>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35A5" w:rsidRPr="007F2D8C" w:rsidRDefault="00A635A5" w:rsidP="000936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Ценовое предложение</w:t>
            </w:r>
          </w:p>
        </w:tc>
      </w:tr>
      <w:tr w:rsidR="00A635A5" w:rsidRPr="009E6C74" w:rsidTr="00093658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A5" w:rsidRPr="009E6C74" w:rsidRDefault="00A635A5" w:rsidP="00093658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A5" w:rsidRPr="009E6C74" w:rsidRDefault="00A635A5" w:rsidP="00093658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08.05.2023 19:35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A5" w:rsidRPr="009E6C74" w:rsidRDefault="00A635A5" w:rsidP="00093658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"ПРИБЫЛОВО-ЦЕНТР"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A5" w:rsidRDefault="00A635A5" w:rsidP="00093658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575 000,00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</w:tbl>
    <w:p w:rsidR="00A635A5" w:rsidRDefault="00A635A5" w:rsidP="00A635A5">
      <w:pPr>
        <w:widowControl/>
        <w:numPr>
          <w:ilvl w:val="0"/>
          <w:numId w:val="3"/>
        </w:numPr>
        <w:tabs>
          <w:tab w:val="clear" w:pos="360"/>
          <w:tab w:val="left" w:pos="-562"/>
        </w:tabs>
        <w:autoSpaceDE/>
        <w:autoSpaceDN/>
        <w:adjustRightInd/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результатах рассмотрения вторых частей заявок участников.</w:t>
      </w:r>
    </w:p>
    <w:p w:rsidR="00A635A5" w:rsidRPr="00EC75CD" w:rsidRDefault="00A635A5" w:rsidP="00A635A5">
      <w:pPr>
        <w:tabs>
          <w:tab w:val="left" w:pos="-562"/>
        </w:tabs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6"/>
        <w:gridCol w:w="4362"/>
        <w:gridCol w:w="4235"/>
      </w:tblGrid>
      <w:tr w:rsidR="00A635A5" w:rsidRPr="0053515B" w:rsidTr="00093658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35A5" w:rsidRPr="0053515B" w:rsidRDefault="00A635A5" w:rsidP="00093658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53515B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35A5" w:rsidRPr="00EC75CD" w:rsidRDefault="00A635A5" w:rsidP="000936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35A5" w:rsidRPr="00E03287" w:rsidRDefault="00A635A5" w:rsidP="000936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A635A5" w:rsidRPr="009E6C74" w:rsidTr="00093658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A5" w:rsidRPr="009E6C74" w:rsidRDefault="00A635A5" w:rsidP="00093658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A5" w:rsidRPr="00EC75CD" w:rsidRDefault="00A635A5" w:rsidP="00093658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A5" w:rsidRPr="008E612C" w:rsidRDefault="00A635A5" w:rsidP="0009365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A635A5" w:rsidRPr="008B2756" w:rsidRDefault="00A635A5" w:rsidP="00A635A5">
      <w:pPr>
        <w:tabs>
          <w:tab w:val="left" w:pos="-567"/>
        </w:tabs>
        <w:spacing w:before="100" w:beforeAutospacing="1" w:after="100" w:afterAutospacing="1"/>
        <w:ind w:left="-567"/>
        <w:jc w:val="both"/>
        <w:rPr>
          <w:sz w:val="24"/>
          <w:szCs w:val="24"/>
          <w:lang w:val="en-US"/>
        </w:rPr>
      </w:pPr>
    </w:p>
    <w:p w:rsidR="00A635A5" w:rsidRPr="008B2756" w:rsidRDefault="00A635A5" w:rsidP="00A635A5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П</w:t>
      </w:r>
      <w:r w:rsidRPr="008B2756">
        <w:rPr>
          <w:bCs/>
          <w:sz w:val="24"/>
          <w:szCs w:val="24"/>
        </w:rPr>
        <w:t>р</w:t>
      </w:r>
      <w:r>
        <w:rPr>
          <w:bCs/>
          <w:sz w:val="24"/>
          <w:szCs w:val="24"/>
        </w:rPr>
        <w:t xml:space="preserve">отокол </w:t>
      </w:r>
      <w:proofErr w:type="gramStart"/>
      <w:r>
        <w:rPr>
          <w:bCs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Cs/>
          <w:sz w:val="24"/>
          <w:szCs w:val="24"/>
        </w:rPr>
        <w:t xml:space="preserve"> по</w:t>
      </w:r>
      <w:r w:rsidRPr="008B2756">
        <w:rPr>
          <w:bCs/>
          <w:sz w:val="24"/>
          <w:szCs w:val="24"/>
        </w:rPr>
        <w:t xml:space="preserve">дписан всеми присутствующими на заседании членами </w:t>
      </w:r>
      <w:r>
        <w:rPr>
          <w:bCs/>
          <w:sz w:val="24"/>
          <w:szCs w:val="24"/>
        </w:rPr>
        <w:t>конкурсной</w:t>
      </w:r>
      <w:r w:rsidRPr="008B2756">
        <w:rPr>
          <w:bCs/>
          <w:sz w:val="24"/>
          <w:szCs w:val="24"/>
        </w:rPr>
        <w:t xml:space="preserve"> комиссии</w:t>
      </w:r>
      <w:r w:rsidRPr="001E3D5F"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A635A5" w:rsidRPr="008B2756" w:rsidTr="00093658">
        <w:tc>
          <w:tcPr>
            <w:tcW w:w="4111" w:type="dxa"/>
          </w:tcPr>
          <w:p w:rsidR="00A635A5" w:rsidRPr="008B2756" w:rsidRDefault="00A635A5" w:rsidP="00093658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</w:tcPr>
          <w:p w:rsidR="00A635A5" w:rsidRPr="008B2756" w:rsidRDefault="00A635A5" w:rsidP="00093658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A635A5" w:rsidRPr="008B2756" w:rsidRDefault="00A635A5" w:rsidP="00093658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A635A5" w:rsidRPr="008B2756" w:rsidRDefault="00A635A5" w:rsidP="00093658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Вилков С.М.</w:t>
            </w:r>
          </w:p>
        </w:tc>
      </w:tr>
      <w:tr w:rsidR="00A635A5" w:rsidRPr="008B2756" w:rsidTr="00093658">
        <w:tc>
          <w:tcPr>
            <w:tcW w:w="4111" w:type="dxa"/>
          </w:tcPr>
          <w:p w:rsidR="00A635A5" w:rsidRPr="008B2756" w:rsidRDefault="00A635A5" w:rsidP="00093658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A635A5" w:rsidRPr="008B2756" w:rsidRDefault="00A635A5" w:rsidP="00093658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A635A5" w:rsidRPr="008B2756" w:rsidRDefault="00A635A5" w:rsidP="00093658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A635A5" w:rsidRPr="008B2756" w:rsidRDefault="00A635A5" w:rsidP="00093658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Шемякин Р.В.</w:t>
            </w:r>
          </w:p>
        </w:tc>
      </w:tr>
      <w:tr w:rsidR="00A635A5" w:rsidRPr="008B2756" w:rsidTr="00093658">
        <w:tc>
          <w:tcPr>
            <w:tcW w:w="4111" w:type="dxa"/>
          </w:tcPr>
          <w:p w:rsidR="00A635A5" w:rsidRPr="008B2756" w:rsidRDefault="00A635A5" w:rsidP="00093658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A635A5" w:rsidRPr="008B2756" w:rsidRDefault="00A635A5" w:rsidP="00093658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A635A5" w:rsidRPr="008B2756" w:rsidRDefault="00A635A5" w:rsidP="00093658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A635A5" w:rsidRPr="008B2756" w:rsidRDefault="00A635A5" w:rsidP="00093658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Постникова Т.Н.</w:t>
            </w:r>
          </w:p>
        </w:tc>
      </w:tr>
      <w:tr w:rsidR="00A635A5" w:rsidRPr="008B2756" w:rsidTr="00093658">
        <w:tc>
          <w:tcPr>
            <w:tcW w:w="4111" w:type="dxa"/>
          </w:tcPr>
          <w:p w:rsidR="00A635A5" w:rsidRPr="008B2756" w:rsidRDefault="00A635A5" w:rsidP="00093658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A635A5" w:rsidRPr="008B2756" w:rsidRDefault="00A635A5" w:rsidP="00093658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A635A5" w:rsidRPr="008B2756" w:rsidRDefault="00A635A5" w:rsidP="00093658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A635A5" w:rsidRPr="008B2756" w:rsidRDefault="00A635A5" w:rsidP="00093658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Матвеева Н.М.</w:t>
            </w:r>
          </w:p>
        </w:tc>
      </w:tr>
      <w:tr w:rsidR="00A635A5" w:rsidRPr="008B2756" w:rsidTr="00093658">
        <w:tc>
          <w:tcPr>
            <w:tcW w:w="4111" w:type="dxa"/>
          </w:tcPr>
          <w:p w:rsidR="00A635A5" w:rsidRPr="008B2756" w:rsidRDefault="00A635A5" w:rsidP="00093658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A635A5" w:rsidRPr="008B2756" w:rsidRDefault="00A635A5" w:rsidP="00093658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A635A5" w:rsidRPr="008B2756" w:rsidRDefault="00A635A5" w:rsidP="00093658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A635A5" w:rsidRPr="008B2756" w:rsidRDefault="00A635A5" w:rsidP="00093658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Макарова М.А.</w:t>
            </w:r>
          </w:p>
        </w:tc>
      </w:tr>
    </w:tbl>
    <w:p w:rsidR="00A635A5" w:rsidRPr="001E3D5F" w:rsidRDefault="00A635A5" w:rsidP="00A635A5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023C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CEF" w:rsidRDefault="00023CEF">
      <w:r>
        <w:separator/>
      </w:r>
    </w:p>
  </w:endnote>
  <w:endnote w:type="continuationSeparator" w:id="0">
    <w:p w:rsidR="00023CEF" w:rsidRDefault="0002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CEF" w:rsidRDefault="00023CEF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3CEF" w:rsidRDefault="00023CEF" w:rsidP="00023CE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CEF" w:rsidRDefault="00023CEF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35A5">
      <w:rPr>
        <w:rStyle w:val="a5"/>
        <w:noProof/>
      </w:rPr>
      <w:t>2</w:t>
    </w:r>
    <w:r>
      <w:rPr>
        <w:rStyle w:val="a5"/>
      </w:rPr>
      <w:fldChar w:fldCharType="end"/>
    </w:r>
  </w:p>
  <w:p w:rsidR="00023CEF" w:rsidRDefault="00023CEF" w:rsidP="00023CEF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CEF" w:rsidRDefault="00023C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CEF" w:rsidRDefault="00023CEF">
      <w:r>
        <w:separator/>
      </w:r>
    </w:p>
  </w:footnote>
  <w:footnote w:type="continuationSeparator" w:id="0">
    <w:p w:rsidR="00023CEF" w:rsidRDefault="00023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CEF" w:rsidRDefault="00023C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3CEF" w:rsidRDefault="00023C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CEF" w:rsidRDefault="00023CE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CEF" w:rsidRDefault="00023C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23CEF"/>
    <w:rsid w:val="00085C70"/>
    <w:rsid w:val="00202527"/>
    <w:rsid w:val="00316AAF"/>
    <w:rsid w:val="00363F15"/>
    <w:rsid w:val="003C3C2E"/>
    <w:rsid w:val="00406682"/>
    <w:rsid w:val="004B28B2"/>
    <w:rsid w:val="00526BF7"/>
    <w:rsid w:val="005A7AC9"/>
    <w:rsid w:val="00640C89"/>
    <w:rsid w:val="00690A12"/>
    <w:rsid w:val="0071352D"/>
    <w:rsid w:val="0076449B"/>
    <w:rsid w:val="00794DCE"/>
    <w:rsid w:val="007D20BF"/>
    <w:rsid w:val="008525E0"/>
    <w:rsid w:val="008D4284"/>
    <w:rsid w:val="009A7B7E"/>
    <w:rsid w:val="00A635A5"/>
    <w:rsid w:val="00A645C6"/>
    <w:rsid w:val="00A723F2"/>
    <w:rsid w:val="00AD55EC"/>
    <w:rsid w:val="00B614CA"/>
    <w:rsid w:val="00BD226F"/>
    <w:rsid w:val="00BE2C9B"/>
    <w:rsid w:val="00C178BC"/>
    <w:rsid w:val="00CD0F42"/>
    <w:rsid w:val="00D26882"/>
    <w:rsid w:val="00D80A1C"/>
    <w:rsid w:val="00DD3716"/>
    <w:rsid w:val="00E843CC"/>
    <w:rsid w:val="00F21E01"/>
    <w:rsid w:val="00F275AF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28</cp:revision>
  <cp:lastPrinted>2022-06-07T06:17:00Z</cp:lastPrinted>
  <dcterms:created xsi:type="dcterms:W3CDTF">2019-08-12T06:27:00Z</dcterms:created>
  <dcterms:modified xsi:type="dcterms:W3CDTF">2023-05-10T07:53:00Z</dcterms:modified>
</cp:coreProperties>
</file>